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24F0" w14:textId="1134C4CE" w:rsidR="002A53E3" w:rsidRDefault="002A53E3" w:rsidP="002A53E3">
      <w:pPr>
        <w:jc w:val="right"/>
      </w:pPr>
      <w:r>
        <w:t>Warszawa,</w:t>
      </w:r>
      <w:r w:rsidR="009F1CBE">
        <w:t xml:space="preserve"> 01</w:t>
      </w:r>
      <w:r>
        <w:t xml:space="preserve">. </w:t>
      </w:r>
      <w:r w:rsidR="009F1CBE">
        <w:t xml:space="preserve">Kwietnia </w:t>
      </w:r>
      <w:r>
        <w:t>2026 r.</w:t>
      </w:r>
    </w:p>
    <w:p w14:paraId="754B2C3D" w14:textId="7F338703" w:rsidR="002A53E3" w:rsidRPr="002A53E3" w:rsidRDefault="002A53E3" w:rsidP="002A53E3">
      <w:pPr>
        <w:rPr>
          <w:b/>
          <w:bCs/>
          <w:sz w:val="28"/>
          <w:szCs w:val="28"/>
        </w:rPr>
      </w:pPr>
      <w:r w:rsidRPr="002A53E3">
        <w:rPr>
          <w:b/>
          <w:bCs/>
          <w:sz w:val="28"/>
          <w:szCs w:val="28"/>
        </w:rPr>
        <w:t>RAPORT TRUSTMATE - GILOTYNA FINANSOWA I CYFROWY NIEBYT, CZYLI JAK AI I UOKIK CZYSZCZĄ POLSKI E-COMMERCE W 2026 ROKU</w:t>
      </w:r>
    </w:p>
    <w:p w14:paraId="47CA2CC9" w14:textId="5B3F921C" w:rsidR="00CC0F3A" w:rsidRPr="00CC0F3A" w:rsidRDefault="00CC0F3A" w:rsidP="00CC0F3A">
      <w:pPr>
        <w:rPr>
          <w:b/>
          <w:bCs/>
        </w:rPr>
      </w:pPr>
      <w:r w:rsidRPr="00CC0F3A">
        <w:rPr>
          <w:b/>
          <w:bCs/>
        </w:rPr>
        <w:t>To koniec domniemania niewinności w polskim e-handlu. Szara strefa oraz nielegalne praktyki związane z manipulowaniem recenzjami przestały być niewidoczne dla algorytmów nadzorczych. W efekcie, w marcu 2026 roku e-sklepy stanęły przed dwutorowym uderzeniem: bezwzględną egzekucją kar UOKiK (do 10% obrotu i 2 mln zł dla zarządu) oraz algorytmicznym wykluczeniem przez sztuczną inteligencję. Dla nieprzygotowanych firm konsekwencje wykraczają poza grzywny – to widmo masowych zwrotów towaru przez okres aż 12 miesięcy i cyfrowy niebyt narzucony przez AI. Jak przetrwać tę czystkę?</w:t>
      </w:r>
    </w:p>
    <w:p w14:paraId="24396167" w14:textId="77777777" w:rsidR="002A53E3" w:rsidRDefault="002A53E3" w:rsidP="002A53E3">
      <w:r>
        <w:t>Polski rynek e-commerce wszedł w fazę intensywnej weryfikacji, a co za tym idzie także zmian. Publikacja w lutym br. pierwszych zharmonizowanych raportów transparentności tzw. Aktu o Usługach Cyfrowych (DSA) przez gigantów takich jak Amazon, Booking czy Zalando czy rodzimego lidera – platformę Allegro, zbiegła się w czasie z najbardziej rygorystyczną w historii ofensywą UOKiK. Urząd oficjalnie rozpoczął egzekucję „Czarnej listy” praktyk rynkowych, kończąc erę niezweryfikowanych opinii i manipulacji dowodami społecznymi w sieci. Dla tysięcy e-sklepów to fundamentalna, a nierzadko egzystencjonalna zmiana, która oznacza koniec domniemania niewinności, która dotychczas stosował UOKiK. A to oznacza także potężne kary, nie tylko finansowe.</w:t>
      </w:r>
    </w:p>
    <w:p w14:paraId="485A73E6" w14:textId="77777777" w:rsidR="002A53E3" w:rsidRDefault="002A53E3" w:rsidP="002A53E3">
      <w:r>
        <w:t>W celu uniknięcia sankcji e-sklepy muszą wdrożyć rygorystyczne procedury weryfikacji, gdyż w 2026 roku nadzór nakłada niemal automatyczne kary do 10% rocznego obrotu za manipulację opiniami, 4% za brak dowodów technicznych na ich autentyczność oraz do 2 mln zł  bezpośrednio na osoby zarządzające. Są dodatkowe jeszcze sankcje, wynikające z Aktu o Usługach Cyfrowych (DSA). Dla platform handlowych i większych e-sklepów, które pełnią rolę pośredników (np. marketplace’y), DSA przewiduje drastyczne stawki. Do 6% globalnego rocznego obrotu za brak odpowiednich raportów transparentności (jak te opublikowane przez Allegro czy Amazon) lub brak skutecznych mechanizmów usuwania nielegalnych treści, w tym tzw. nieprawdziwych opinii. Okresowe kary pieniężne, które mogą wynosić do 5% średniego dziennego światowego obrotu za każdy dzień zwłoki w dostosowaniu się do nakazów regulatora.</w:t>
      </w:r>
    </w:p>
    <w:p w14:paraId="511D2355" w14:textId="77777777" w:rsidR="002A53E3" w:rsidRPr="002A53E3" w:rsidRDefault="002A53E3" w:rsidP="002A53E3">
      <w:pPr>
        <w:rPr>
          <w:b/>
          <w:bCs/>
        </w:rPr>
      </w:pPr>
      <w:r w:rsidRPr="002A53E3">
        <w:rPr>
          <w:b/>
          <w:bCs/>
        </w:rPr>
        <w:t>Koniec domniemania niewinności</w:t>
      </w:r>
    </w:p>
    <w:p w14:paraId="65E1597B" w14:textId="77777777" w:rsidR="002A53E3" w:rsidRDefault="002A53E3" w:rsidP="002A53E3">
      <w:r>
        <w:t>W celu ochrony konsumentów przed zalewem syntetycznych treści, UOKiK wpisał brak weryfikacji opinii na listę praktyk automatycznie uznawanych za nieuczciwe. Urząd nie musi już udowadniać, że jakikolwiek klient został wprowadzony w błąd. Sam fakt obecności niezweryfikowanych opinii bez jasnej, publicznie dostępnej procedury ich sprawdzania jest wystarczającą podstawą do nałożenia kary.</w:t>
      </w:r>
    </w:p>
    <w:p w14:paraId="1132A937" w14:textId="6BBE9999" w:rsidR="002A53E3" w:rsidRDefault="002A53E3" w:rsidP="002A53E3">
      <w:r>
        <w:t xml:space="preserve">-  </w:t>
      </w:r>
      <w:r w:rsidR="00230F5D" w:rsidRPr="00230F5D">
        <w:rPr>
          <w:i/>
          <w:iCs/>
        </w:rPr>
        <w:t>N</w:t>
      </w:r>
      <w:r w:rsidRPr="002A53E3">
        <w:rPr>
          <w:i/>
          <w:iCs/>
        </w:rPr>
        <w:t xml:space="preserve">ielegalne praktyki związane z manipulowaniem recenzjami, przestała być niewidoczna dla algorytmów nadzorczych. W 2026 roku każda niezweryfikowana opinia zostawia ślad, który systemy kontrolne UOKiK identyfikują w czasie rzeczywistym. </w:t>
      </w:r>
      <w:r w:rsidRPr="002A53E3">
        <w:t>– mówi Jerzy Krawczyk, prezes zarządu TrustMate.io.</w:t>
      </w:r>
      <w:r w:rsidRPr="002A53E3">
        <w:rPr>
          <w:i/>
          <w:iCs/>
        </w:rPr>
        <w:t xml:space="preserve"> - Albo Twoje zaufanie jest mierzalne i weryfikowalne przez algorytmy, albo Twoja marża zostanie skonsumowana przez kary administracyjne. W świecie AI i tzw. Agentic Commerce, gdzie decyzje zakupowe coraz częściej podejmuje sztuczna inteligencja, nie ma miejsca na szarą strefę lub nielegalne praktyki, np. manipulowanie opiniami. Platformy, takiej jak TrustMate, staje się cyfrowym paszportem autentyczności, bez którego sklep po prostu przestaje istnieć dla nowoczesnego konsumenta i jego asystenta AI.</w:t>
      </w:r>
      <w:r>
        <w:t xml:space="preserve"> – komentuje Jerzy Krawczyk, prezes zarządu TrustMate.io. </w:t>
      </w:r>
    </w:p>
    <w:p w14:paraId="5F925B2D" w14:textId="77777777" w:rsidR="002A53E3" w:rsidRDefault="002A53E3" w:rsidP="002A53E3">
      <w:r>
        <w:lastRenderedPageBreak/>
        <w:t>Najważniejsza zmiana prawna 2026 roku to przejście z dowodzenia realnej „szkody” konsumenta na dowodzenie samego „braku procedury” weryfikacyjnej. Celem regulatora jest bezwzględna eliminacja podmiotów, które nie potrafią wykazać cyfrowej ścieżki pochodzenia publikowanych opinii, co w praktyce oznacza automatyzm kary. UOKiK nie musi już udowadniać celowego oszustwa, gdyż sam brak precyzyjnego opisu technicznej weryfikacji w regulaminie jest uznawany za naruszenie zbiorowych interesów konsumentów.</w:t>
      </w:r>
    </w:p>
    <w:p w14:paraId="0CC0B008" w14:textId="77777777" w:rsidR="002A53E3" w:rsidRPr="002A53E3" w:rsidRDefault="002A53E3" w:rsidP="002A53E3">
      <w:pPr>
        <w:rPr>
          <w:b/>
          <w:bCs/>
        </w:rPr>
      </w:pPr>
      <w:r w:rsidRPr="002A53E3">
        <w:rPr>
          <w:b/>
          <w:bCs/>
        </w:rPr>
        <w:t>Dodatkowe sankcje</w:t>
      </w:r>
    </w:p>
    <w:p w14:paraId="572DDED9" w14:textId="77777777" w:rsidR="002A53E3" w:rsidRDefault="002A53E3" w:rsidP="002A53E3">
      <w:r>
        <w:t>Kary za niedostosowanie systemu opinii do nowych wymogów wykraczają w 2026 roku daleko poza proste grzywny administracyjne, uderzając bezpośrednio w płynność finansową i operacyjną e-sklepów poprzez:</w:t>
      </w:r>
    </w:p>
    <w:p w14:paraId="15CB10AA" w14:textId="51C2208B" w:rsidR="002A53E3" w:rsidRDefault="002A53E3" w:rsidP="002A53E3">
      <w:pPr>
        <w:pStyle w:val="Akapitzlist"/>
        <w:numPr>
          <w:ilvl w:val="0"/>
          <w:numId w:val="2"/>
        </w:numPr>
      </w:pPr>
      <w:r w:rsidRPr="002A53E3">
        <w:rPr>
          <w:b/>
          <w:bCs/>
        </w:rPr>
        <w:t xml:space="preserve">Wydłużone prawo do zwrotu </w:t>
      </w:r>
      <w:r>
        <w:rPr>
          <w:b/>
          <w:bCs/>
        </w:rPr>
        <w:t xml:space="preserve">z 14 dni do </w:t>
      </w:r>
      <w:r w:rsidRPr="002A53E3">
        <w:rPr>
          <w:b/>
          <w:bCs/>
        </w:rPr>
        <w:t>12 miesięcy</w:t>
      </w:r>
      <w:r>
        <w:t>: Jeśli sklep błędnie informuje o autentyczności opinii lub stosuje tzw. Dark Patterns, konsument zyskuje prawo do odstąpienia od umowy nawet po roku od zakupu. Przy rynkowej skali 42% niezweryfikowanych treści, ryzyko masowych zwrotów staje się zagrożeniem egzystencjalnym dla rentowności biznesu.</w:t>
      </w:r>
    </w:p>
    <w:p w14:paraId="2A4AF777" w14:textId="5A04019A" w:rsidR="002A53E3" w:rsidRDefault="002A53E3" w:rsidP="002A53E3">
      <w:pPr>
        <w:pStyle w:val="Akapitzlist"/>
        <w:numPr>
          <w:ilvl w:val="0"/>
          <w:numId w:val="2"/>
        </w:numPr>
      </w:pPr>
      <w:r w:rsidRPr="002A53E3">
        <w:rPr>
          <w:b/>
          <w:bCs/>
        </w:rPr>
        <w:t>Odszkodowania i roszczenia</w:t>
      </w:r>
      <w:r>
        <w:t>: Konsumenci oraz konkurencja (sklepy działające uczciwie) mogą wytaczać powództwa cywilne o odszkodowanie z tytułu czynów nieuczciwej konkurencji, co generuje dodatkowe koszty procesowe i odszkodowawcze.</w:t>
      </w:r>
    </w:p>
    <w:p w14:paraId="1904626E" w14:textId="77777777" w:rsidR="002A53E3" w:rsidRPr="002A53E3" w:rsidRDefault="002A53E3" w:rsidP="002A53E3">
      <w:pPr>
        <w:rPr>
          <w:b/>
          <w:bCs/>
        </w:rPr>
      </w:pPr>
      <w:r w:rsidRPr="002A53E3">
        <w:rPr>
          <w:b/>
          <w:bCs/>
        </w:rPr>
        <w:t>„Kara cyfrowa” czyli blokada przez agentów AI</w:t>
      </w:r>
    </w:p>
    <w:p w14:paraId="5840D367" w14:textId="77777777" w:rsidR="002A53E3" w:rsidRDefault="002A53E3" w:rsidP="002A53E3">
      <w:r>
        <w:t>W 2026 roku pojawia się nowy, najbardziej dotkliwy rodzaj sankcji – wykluczenie z ekosystemu Agentic Commerce. W przeciwieństwie do kar finansowych UOKiK, które są nakładane post factum, „kara cyfrowa” działa w czasie rzeczywistym i odcina e-sklep od dopływu nowych zamówień.</w:t>
      </w:r>
    </w:p>
    <w:p w14:paraId="49FAEE29" w14:textId="610505C4" w:rsidR="002A53E3" w:rsidRDefault="002A53E3" w:rsidP="002A53E3">
      <w:pPr>
        <w:pStyle w:val="Akapitzlist"/>
        <w:numPr>
          <w:ilvl w:val="0"/>
          <w:numId w:val="1"/>
        </w:numPr>
      </w:pPr>
      <w:r w:rsidRPr="002A53E3">
        <w:rPr>
          <w:b/>
          <w:bCs/>
        </w:rPr>
        <w:t>Niewidoczność w wynikach</w:t>
      </w:r>
      <w:r>
        <w:t>: Nowoczesne modele asystentów, takie jak Google Jarvis czy OpenAI Shopping, opierają swoje rekomendacje na warstwie zaufania. Jeśli opinie o produkcie nie posiadają ustrukturyzowanych metadanych i cyfrowych certyfikatów autentyczności np. standardu TrustMate, algorytm automatycznie flaguje ofertę jako wysokie ryzyko manipulacji. W efekcie e-sklep nie pojawia się w zestawieniach zakupowych, stając się niewidocznym dla użytkownika.</w:t>
      </w:r>
    </w:p>
    <w:p w14:paraId="3A8F6945" w14:textId="7E891134" w:rsidR="002A53E3" w:rsidRDefault="002A53E3" w:rsidP="002A53E3">
      <w:pPr>
        <w:pStyle w:val="Akapitzlist"/>
        <w:numPr>
          <w:ilvl w:val="0"/>
          <w:numId w:val="1"/>
        </w:numPr>
      </w:pPr>
      <w:r>
        <w:rPr>
          <w:b/>
          <w:bCs/>
        </w:rPr>
        <w:t>B</w:t>
      </w:r>
      <w:r w:rsidRPr="002A53E3">
        <w:rPr>
          <w:b/>
          <w:bCs/>
        </w:rPr>
        <w:t>rak konwersji w handlu delegowanym</w:t>
      </w:r>
      <w:r>
        <w:t>: Konsument w 2026 roku coraz rzadziej samodzielnie przegląda dziesiątki kart produktowych – deleguje ten proces swojemu agentowi AI. Jeśli sklep trafi na algorytmiczną „czarną listę” wiarygodności z powodu braku technicznej weryfikacji dowodów społecznych, przestaje istnieć dla nowoczesnego konsumenta. Agenci AI, chroniąc interesy konsumenta – swojego użytkownika, po prostu nie sfinalizują transakcji w miejscu, które nie gwarantuje transparentności danych.</w:t>
      </w:r>
    </w:p>
    <w:p w14:paraId="2AC655C2" w14:textId="77777777" w:rsidR="002A53E3" w:rsidRDefault="002A53E3" w:rsidP="002A53E3">
      <w:r>
        <w:t xml:space="preserve">A to oznacza, że kara cyfrowa to de facto współczesny odpowiednik wyłączenia serwerów. Bez certyfikowanej autentyczności, e-sklep traci dostęp do ważnego i przyszłościowego kanału sprzedaży. </w:t>
      </w:r>
    </w:p>
    <w:p w14:paraId="1D7F8122" w14:textId="77777777" w:rsidR="00F55066" w:rsidRDefault="00F55066" w:rsidP="00F55066">
      <w:pPr>
        <w:spacing w:before="240" w:after="240"/>
        <w:rPr>
          <w:rFonts w:ascii="Calibri" w:eastAsia="Calibri" w:hAnsi="Calibri" w:cs="Calibri"/>
          <w:i/>
          <w:iCs/>
        </w:rPr>
      </w:pPr>
      <w:r>
        <w:rPr>
          <w:rFonts w:ascii="Calibri" w:eastAsia="Calibri" w:hAnsi="Calibri" w:cs="Calibri"/>
          <w:i/>
          <w:iCs/>
        </w:rPr>
        <w:t>Obowiązujące sankcje w 2026 dla e-sklepów</w:t>
      </w: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1680"/>
        <w:gridCol w:w="2250"/>
        <w:gridCol w:w="2580"/>
        <w:gridCol w:w="2400"/>
      </w:tblGrid>
      <w:tr w:rsidR="00F55066" w14:paraId="258F6F88" w14:textId="77777777" w:rsidTr="0073011B">
        <w:trPr>
          <w:trHeight w:val="660"/>
        </w:trPr>
        <w:tc>
          <w:tcPr>
            <w:tcW w:w="16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9A41B" w14:textId="77777777" w:rsidR="00F55066" w:rsidRDefault="00F55066" w:rsidP="0073011B">
            <w:pPr>
              <w:rPr>
                <w:rFonts w:ascii="Calibri" w:eastAsia="Calibri" w:hAnsi="Calibri" w:cs="Calibri"/>
                <w:b/>
                <w:bCs/>
              </w:rPr>
            </w:pPr>
            <w:r>
              <w:rPr>
                <w:rFonts w:ascii="Calibri" w:eastAsia="Calibri" w:hAnsi="Calibri" w:cs="Calibri"/>
                <w:b/>
                <w:bCs/>
              </w:rPr>
              <w:t>Rodzaj naruszenia</w:t>
            </w:r>
          </w:p>
        </w:tc>
        <w:tc>
          <w:tcPr>
            <w:tcW w:w="22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986D6" w14:textId="77777777" w:rsidR="00F55066" w:rsidRDefault="00F55066" w:rsidP="0073011B">
            <w:pPr>
              <w:jc w:val="center"/>
              <w:rPr>
                <w:rFonts w:ascii="Calibri" w:eastAsia="Calibri" w:hAnsi="Calibri" w:cs="Calibri"/>
                <w:b/>
                <w:bCs/>
              </w:rPr>
            </w:pPr>
            <w:r>
              <w:rPr>
                <w:rFonts w:ascii="Calibri" w:eastAsia="Calibri" w:hAnsi="Calibri" w:cs="Calibri"/>
                <w:b/>
                <w:bCs/>
              </w:rPr>
              <w:t>Kary/ Sankcje</w:t>
            </w:r>
          </w:p>
        </w:tc>
        <w:tc>
          <w:tcPr>
            <w:tcW w:w="25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69037" w14:textId="77777777" w:rsidR="00F55066" w:rsidRDefault="00F55066" w:rsidP="0073011B">
            <w:pPr>
              <w:jc w:val="center"/>
              <w:rPr>
                <w:rFonts w:ascii="Calibri" w:eastAsia="Calibri" w:hAnsi="Calibri" w:cs="Calibri"/>
                <w:b/>
                <w:bCs/>
              </w:rPr>
            </w:pPr>
            <w:r>
              <w:rPr>
                <w:rFonts w:ascii="Calibri" w:eastAsia="Calibri" w:hAnsi="Calibri" w:cs="Calibri"/>
                <w:b/>
                <w:bCs/>
              </w:rPr>
              <w:t>Organ nakładający / Skutek</w:t>
            </w:r>
          </w:p>
        </w:tc>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76AF7" w14:textId="77777777" w:rsidR="00F55066" w:rsidRDefault="00F55066" w:rsidP="0073011B">
            <w:pPr>
              <w:jc w:val="center"/>
              <w:rPr>
                <w:rFonts w:ascii="Calibri" w:eastAsia="Calibri" w:hAnsi="Calibri" w:cs="Calibri"/>
                <w:b/>
                <w:bCs/>
              </w:rPr>
            </w:pPr>
            <w:r>
              <w:rPr>
                <w:rFonts w:ascii="Calibri" w:eastAsia="Calibri" w:hAnsi="Calibri" w:cs="Calibri"/>
                <w:b/>
                <w:bCs/>
              </w:rPr>
              <w:t>Źródło</w:t>
            </w:r>
          </w:p>
        </w:tc>
      </w:tr>
      <w:tr w:rsidR="00F55066" w14:paraId="3198523E" w14:textId="77777777" w:rsidTr="0073011B">
        <w:trPr>
          <w:trHeight w:val="945"/>
        </w:trPr>
        <w:tc>
          <w:tcPr>
            <w:tcW w:w="16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67A2B" w14:textId="77777777" w:rsidR="00F55066" w:rsidRDefault="00F55066" w:rsidP="0073011B">
            <w:pPr>
              <w:rPr>
                <w:rFonts w:ascii="Calibri" w:eastAsia="Calibri" w:hAnsi="Calibri" w:cs="Calibri"/>
                <w:b/>
                <w:bCs/>
              </w:rPr>
            </w:pPr>
            <w:r>
              <w:rPr>
                <w:rFonts w:ascii="Calibri" w:eastAsia="Calibri" w:hAnsi="Calibri" w:cs="Calibri"/>
                <w:b/>
                <w:bCs/>
              </w:rPr>
              <w:t>Manipulacja opiniami</w:t>
            </w:r>
          </w:p>
        </w:tc>
        <w:tc>
          <w:tcPr>
            <w:tcW w:w="22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97B39" w14:textId="77777777" w:rsidR="00F55066" w:rsidRDefault="00F55066" w:rsidP="0073011B">
            <w:pPr>
              <w:jc w:val="center"/>
              <w:rPr>
                <w:rFonts w:ascii="Calibri" w:eastAsia="Calibri" w:hAnsi="Calibri" w:cs="Calibri"/>
              </w:rPr>
            </w:pPr>
            <w:r>
              <w:rPr>
                <w:rFonts w:ascii="Calibri" w:eastAsia="Calibri" w:hAnsi="Calibri" w:cs="Calibri"/>
              </w:rPr>
              <w:t>Do 10% rocznego obrotu</w:t>
            </w:r>
          </w:p>
        </w:tc>
        <w:tc>
          <w:tcPr>
            <w:tcW w:w="25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8E4A3" w14:textId="77777777" w:rsidR="00F55066" w:rsidRDefault="00F55066" w:rsidP="0073011B">
            <w:pPr>
              <w:jc w:val="center"/>
              <w:rPr>
                <w:rFonts w:ascii="Calibri" w:eastAsia="Calibri" w:hAnsi="Calibri" w:cs="Calibri"/>
              </w:rPr>
            </w:pPr>
            <w:r>
              <w:rPr>
                <w:rFonts w:ascii="Calibri" w:eastAsia="Calibri" w:hAnsi="Calibri" w:cs="Calibri"/>
              </w:rPr>
              <w:t>UOKiK</w:t>
            </w:r>
          </w:p>
        </w:tc>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8447D" w14:textId="77777777" w:rsidR="00F55066" w:rsidRDefault="00F55066" w:rsidP="0073011B">
            <w:pPr>
              <w:jc w:val="center"/>
              <w:rPr>
                <w:rFonts w:ascii="Calibri" w:eastAsia="Calibri" w:hAnsi="Calibri" w:cs="Calibri"/>
              </w:rPr>
            </w:pPr>
            <w:r>
              <w:rPr>
                <w:rFonts w:ascii="Calibri" w:eastAsia="Calibri" w:hAnsi="Calibri" w:cs="Calibri"/>
              </w:rPr>
              <w:t>Ustawa o ochronie konkurencji i konsumentów</w:t>
            </w:r>
          </w:p>
        </w:tc>
      </w:tr>
      <w:tr w:rsidR="00F55066" w14:paraId="16922208" w14:textId="77777777" w:rsidTr="0073011B">
        <w:trPr>
          <w:trHeight w:val="945"/>
        </w:trPr>
        <w:tc>
          <w:tcPr>
            <w:tcW w:w="16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7DE67" w14:textId="77777777" w:rsidR="00F55066" w:rsidRDefault="00F55066" w:rsidP="0073011B">
            <w:pPr>
              <w:rPr>
                <w:rFonts w:ascii="Calibri" w:eastAsia="Calibri" w:hAnsi="Calibri" w:cs="Calibri"/>
                <w:b/>
                <w:bCs/>
              </w:rPr>
            </w:pPr>
            <w:r>
              <w:rPr>
                <w:rFonts w:ascii="Calibri" w:eastAsia="Calibri" w:hAnsi="Calibri" w:cs="Calibri"/>
                <w:b/>
                <w:bCs/>
              </w:rPr>
              <w:lastRenderedPageBreak/>
              <w:t>Brak procedur (Omnibus)</w:t>
            </w:r>
          </w:p>
        </w:tc>
        <w:tc>
          <w:tcPr>
            <w:tcW w:w="22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BF301" w14:textId="77777777" w:rsidR="00F55066" w:rsidRDefault="00F55066" w:rsidP="0073011B">
            <w:pPr>
              <w:jc w:val="center"/>
              <w:rPr>
                <w:rFonts w:ascii="Calibri" w:eastAsia="Calibri" w:hAnsi="Calibri" w:cs="Calibri"/>
              </w:rPr>
            </w:pPr>
            <w:r>
              <w:rPr>
                <w:rFonts w:ascii="Calibri" w:eastAsia="Calibri" w:hAnsi="Calibri" w:cs="Calibri"/>
              </w:rPr>
              <w:t>Do 4% rocznego obrotu</w:t>
            </w:r>
          </w:p>
        </w:tc>
        <w:tc>
          <w:tcPr>
            <w:tcW w:w="25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6422F" w14:textId="77777777" w:rsidR="00F55066" w:rsidRDefault="00F55066" w:rsidP="0073011B">
            <w:pPr>
              <w:jc w:val="center"/>
              <w:rPr>
                <w:rFonts w:ascii="Calibri" w:eastAsia="Calibri" w:hAnsi="Calibri" w:cs="Calibri"/>
              </w:rPr>
            </w:pPr>
            <w:r>
              <w:rPr>
                <w:rFonts w:ascii="Calibri" w:eastAsia="Calibri" w:hAnsi="Calibri" w:cs="Calibri"/>
              </w:rPr>
              <w:t>UOKiK</w:t>
            </w:r>
          </w:p>
        </w:tc>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5D03A" w14:textId="77777777" w:rsidR="00F55066" w:rsidRDefault="00F55066" w:rsidP="0073011B">
            <w:pPr>
              <w:jc w:val="center"/>
              <w:rPr>
                <w:rFonts w:ascii="Calibri" w:eastAsia="Calibri" w:hAnsi="Calibri" w:cs="Calibri"/>
              </w:rPr>
            </w:pPr>
            <w:r>
              <w:rPr>
                <w:rFonts w:ascii="Calibri" w:eastAsia="Calibri" w:hAnsi="Calibri" w:cs="Calibri"/>
              </w:rPr>
              <w:t>Ustawa o informowaniu o cenach / Dyrektywa Omnibus</w:t>
            </w:r>
          </w:p>
        </w:tc>
      </w:tr>
      <w:tr w:rsidR="00F55066" w14:paraId="5FB5AEB1" w14:textId="77777777" w:rsidTr="0073011B">
        <w:trPr>
          <w:trHeight w:val="1245"/>
        </w:trPr>
        <w:tc>
          <w:tcPr>
            <w:tcW w:w="16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04207" w14:textId="77777777" w:rsidR="00F55066" w:rsidRDefault="00F55066" w:rsidP="0073011B">
            <w:pPr>
              <w:rPr>
                <w:rFonts w:ascii="Calibri" w:eastAsia="Calibri" w:hAnsi="Calibri" w:cs="Calibri"/>
                <w:b/>
                <w:bCs/>
              </w:rPr>
            </w:pPr>
            <w:r>
              <w:rPr>
                <w:rFonts w:ascii="Calibri" w:eastAsia="Calibri" w:hAnsi="Calibri" w:cs="Calibri"/>
                <w:b/>
                <w:bCs/>
              </w:rPr>
              <w:t>Niezgodność z DSA</w:t>
            </w:r>
          </w:p>
        </w:tc>
        <w:tc>
          <w:tcPr>
            <w:tcW w:w="22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1FE6D" w14:textId="77777777" w:rsidR="00F55066" w:rsidRDefault="00F55066" w:rsidP="0073011B">
            <w:pPr>
              <w:jc w:val="center"/>
              <w:rPr>
                <w:rFonts w:ascii="Calibri" w:eastAsia="Calibri" w:hAnsi="Calibri" w:cs="Calibri"/>
              </w:rPr>
            </w:pPr>
            <w:r>
              <w:rPr>
                <w:rFonts w:ascii="Calibri" w:eastAsia="Calibri" w:hAnsi="Calibri" w:cs="Calibri"/>
              </w:rPr>
              <w:t>Do 6% globalnego obrotu, min. 53 000 USD za każde naruszenie</w:t>
            </w:r>
          </w:p>
        </w:tc>
        <w:tc>
          <w:tcPr>
            <w:tcW w:w="25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A8D6A" w14:textId="77777777" w:rsidR="00F55066" w:rsidRDefault="00F55066" w:rsidP="0073011B">
            <w:pPr>
              <w:jc w:val="center"/>
              <w:rPr>
                <w:rFonts w:ascii="Calibri" w:eastAsia="Calibri" w:hAnsi="Calibri" w:cs="Calibri"/>
              </w:rPr>
            </w:pPr>
            <w:r>
              <w:rPr>
                <w:rFonts w:ascii="Calibri" w:eastAsia="Calibri" w:hAnsi="Calibri" w:cs="Calibri"/>
              </w:rPr>
              <w:t>Komisja Europejska / Min. Cyfryzacji / FTC (USA)</w:t>
            </w:r>
          </w:p>
        </w:tc>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FF20C" w14:textId="77777777" w:rsidR="00F55066" w:rsidRDefault="00F55066" w:rsidP="0073011B">
            <w:pPr>
              <w:jc w:val="center"/>
              <w:rPr>
                <w:rFonts w:ascii="Calibri" w:eastAsia="Calibri" w:hAnsi="Calibri" w:cs="Calibri"/>
              </w:rPr>
            </w:pPr>
            <w:r>
              <w:rPr>
                <w:rFonts w:ascii="Calibri" w:eastAsia="Calibri" w:hAnsi="Calibri" w:cs="Calibri"/>
              </w:rPr>
              <w:t>Akt o usługach cyfrowych (DSA) / Wytyczne FTC</w:t>
            </w:r>
          </w:p>
        </w:tc>
      </w:tr>
      <w:tr w:rsidR="00F55066" w14:paraId="6BDAD5BF" w14:textId="77777777" w:rsidTr="0073011B">
        <w:trPr>
          <w:trHeight w:val="945"/>
        </w:trPr>
        <w:tc>
          <w:tcPr>
            <w:tcW w:w="16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BB1B6" w14:textId="77777777" w:rsidR="00F55066" w:rsidRDefault="00F55066" w:rsidP="0073011B">
            <w:pPr>
              <w:rPr>
                <w:rFonts w:ascii="Calibri" w:eastAsia="Calibri" w:hAnsi="Calibri" w:cs="Calibri"/>
                <w:b/>
                <w:bCs/>
              </w:rPr>
            </w:pPr>
            <w:r>
              <w:rPr>
                <w:rFonts w:ascii="Calibri" w:eastAsia="Calibri" w:hAnsi="Calibri" w:cs="Calibri"/>
                <w:b/>
                <w:bCs/>
              </w:rPr>
              <w:t>Błąd informacyjny (UX)</w:t>
            </w:r>
          </w:p>
        </w:tc>
        <w:tc>
          <w:tcPr>
            <w:tcW w:w="22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D8528" w14:textId="77777777" w:rsidR="00F55066" w:rsidRDefault="00F55066" w:rsidP="0073011B">
            <w:pPr>
              <w:jc w:val="center"/>
              <w:rPr>
                <w:rFonts w:ascii="Calibri" w:eastAsia="Calibri" w:hAnsi="Calibri" w:cs="Calibri"/>
              </w:rPr>
            </w:pPr>
            <w:r>
              <w:rPr>
                <w:rFonts w:ascii="Calibri" w:eastAsia="Calibri" w:hAnsi="Calibri" w:cs="Calibri"/>
              </w:rPr>
              <w:t>Wydłużenie terminu zwrot towaru z 14 dni do 12 m-cy</w:t>
            </w:r>
          </w:p>
        </w:tc>
        <w:tc>
          <w:tcPr>
            <w:tcW w:w="25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A3AE7" w14:textId="77777777" w:rsidR="00F55066" w:rsidRDefault="00F55066" w:rsidP="0073011B">
            <w:pPr>
              <w:jc w:val="center"/>
              <w:rPr>
                <w:rFonts w:ascii="Calibri" w:eastAsia="Calibri" w:hAnsi="Calibri" w:cs="Calibri"/>
              </w:rPr>
            </w:pPr>
            <w:r>
              <w:rPr>
                <w:rFonts w:ascii="Calibri" w:eastAsia="Calibri" w:hAnsi="Calibri" w:cs="Calibri"/>
              </w:rPr>
              <w:t>Roszczenie konsumenckie</w:t>
            </w:r>
          </w:p>
        </w:tc>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294FF" w14:textId="77777777" w:rsidR="00F55066" w:rsidRDefault="00F55066" w:rsidP="0073011B">
            <w:pPr>
              <w:jc w:val="center"/>
              <w:rPr>
                <w:rFonts w:ascii="Calibri" w:eastAsia="Calibri" w:hAnsi="Calibri" w:cs="Calibri"/>
              </w:rPr>
            </w:pPr>
            <w:r>
              <w:rPr>
                <w:rFonts w:ascii="Calibri" w:eastAsia="Calibri" w:hAnsi="Calibri" w:cs="Calibri"/>
              </w:rPr>
              <w:t>Ustawa o prawach konsumenta (Art. 29)</w:t>
            </w:r>
          </w:p>
        </w:tc>
      </w:tr>
      <w:tr w:rsidR="00F55066" w14:paraId="21FF03A4" w14:textId="77777777" w:rsidTr="0073011B">
        <w:trPr>
          <w:trHeight w:val="945"/>
        </w:trPr>
        <w:tc>
          <w:tcPr>
            <w:tcW w:w="16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6FBCB" w14:textId="77777777" w:rsidR="00F55066" w:rsidRDefault="00F55066" w:rsidP="0073011B">
            <w:pPr>
              <w:rPr>
                <w:rFonts w:ascii="Calibri" w:eastAsia="Calibri" w:hAnsi="Calibri" w:cs="Calibri"/>
                <w:b/>
                <w:bCs/>
              </w:rPr>
            </w:pPr>
            <w:r>
              <w:rPr>
                <w:rFonts w:ascii="Calibri" w:eastAsia="Calibri" w:hAnsi="Calibri" w:cs="Calibri"/>
                <w:b/>
                <w:bCs/>
              </w:rPr>
              <w:t>Osoby zarządzające</w:t>
            </w:r>
          </w:p>
        </w:tc>
        <w:tc>
          <w:tcPr>
            <w:tcW w:w="22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67AE1" w14:textId="77777777" w:rsidR="00F55066" w:rsidRDefault="00F55066" w:rsidP="0073011B">
            <w:pPr>
              <w:jc w:val="center"/>
              <w:rPr>
                <w:rFonts w:ascii="Calibri" w:eastAsia="Calibri" w:hAnsi="Calibri" w:cs="Calibri"/>
              </w:rPr>
            </w:pPr>
            <w:r>
              <w:rPr>
                <w:rFonts w:ascii="Calibri" w:eastAsia="Calibri" w:hAnsi="Calibri" w:cs="Calibri"/>
              </w:rPr>
              <w:t>Do 2 000 000 PLN</w:t>
            </w:r>
          </w:p>
        </w:tc>
        <w:tc>
          <w:tcPr>
            <w:tcW w:w="25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4E54C" w14:textId="77777777" w:rsidR="00F55066" w:rsidRDefault="00F55066" w:rsidP="0073011B">
            <w:pPr>
              <w:jc w:val="center"/>
              <w:rPr>
                <w:rFonts w:ascii="Calibri" w:eastAsia="Calibri" w:hAnsi="Calibri" w:cs="Calibri"/>
              </w:rPr>
            </w:pPr>
            <w:r>
              <w:rPr>
                <w:rFonts w:ascii="Calibri" w:eastAsia="Calibri" w:hAnsi="Calibri" w:cs="Calibri"/>
              </w:rPr>
              <w:t>UOKiK (kara indywidualna)</w:t>
            </w:r>
          </w:p>
        </w:tc>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D9376" w14:textId="77777777" w:rsidR="00F55066" w:rsidRDefault="00F55066" w:rsidP="0073011B">
            <w:pPr>
              <w:jc w:val="center"/>
              <w:rPr>
                <w:rFonts w:ascii="Calibri" w:eastAsia="Calibri" w:hAnsi="Calibri" w:cs="Calibri"/>
              </w:rPr>
            </w:pPr>
            <w:r>
              <w:rPr>
                <w:rFonts w:ascii="Calibri" w:eastAsia="Calibri" w:hAnsi="Calibri" w:cs="Calibri"/>
              </w:rPr>
              <w:t>Ustawa o ochronie konkurencji i konsumentów</w:t>
            </w:r>
          </w:p>
        </w:tc>
      </w:tr>
      <w:tr w:rsidR="00F55066" w14:paraId="2AB050B0" w14:textId="77777777" w:rsidTr="0073011B">
        <w:trPr>
          <w:trHeight w:val="945"/>
        </w:trPr>
        <w:tc>
          <w:tcPr>
            <w:tcW w:w="16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B6206" w14:textId="77777777" w:rsidR="00F55066" w:rsidRDefault="00F55066" w:rsidP="0073011B">
            <w:pPr>
              <w:rPr>
                <w:rFonts w:ascii="Calibri" w:eastAsia="Calibri" w:hAnsi="Calibri" w:cs="Calibri"/>
                <w:b/>
                <w:bCs/>
              </w:rPr>
            </w:pPr>
            <w:r>
              <w:rPr>
                <w:rFonts w:ascii="Calibri" w:eastAsia="Calibri" w:hAnsi="Calibri" w:cs="Calibri"/>
                <w:b/>
                <w:bCs/>
              </w:rPr>
              <w:t>Brak weryfikacji cyfrowej</w:t>
            </w:r>
          </w:p>
        </w:tc>
        <w:tc>
          <w:tcPr>
            <w:tcW w:w="22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C69E8" w14:textId="77777777" w:rsidR="00F55066" w:rsidRDefault="00F55066" w:rsidP="0073011B">
            <w:pPr>
              <w:jc w:val="center"/>
              <w:rPr>
                <w:rFonts w:ascii="Calibri" w:eastAsia="Calibri" w:hAnsi="Calibri" w:cs="Calibri"/>
              </w:rPr>
            </w:pPr>
            <w:r>
              <w:rPr>
                <w:rFonts w:ascii="Calibri" w:eastAsia="Calibri" w:hAnsi="Calibri" w:cs="Calibri"/>
              </w:rPr>
              <w:t>Wykluczenie z wyników AI</w:t>
            </w:r>
          </w:p>
        </w:tc>
        <w:tc>
          <w:tcPr>
            <w:tcW w:w="25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7A813" w14:textId="77777777" w:rsidR="00F55066" w:rsidRDefault="00F55066" w:rsidP="0073011B">
            <w:pPr>
              <w:jc w:val="center"/>
              <w:rPr>
                <w:rFonts w:ascii="Calibri" w:eastAsia="Calibri" w:hAnsi="Calibri" w:cs="Calibri"/>
              </w:rPr>
            </w:pPr>
            <w:r>
              <w:rPr>
                <w:rFonts w:ascii="Calibri" w:eastAsia="Calibri" w:hAnsi="Calibri" w:cs="Calibri"/>
              </w:rPr>
              <w:t>Agenci AI (Blokada algorytmiczna)</w:t>
            </w:r>
          </w:p>
        </w:tc>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79C9F" w14:textId="77777777" w:rsidR="00F55066" w:rsidRDefault="00F55066" w:rsidP="0073011B">
            <w:pPr>
              <w:jc w:val="center"/>
              <w:rPr>
                <w:rFonts w:ascii="Calibri" w:eastAsia="Calibri" w:hAnsi="Calibri" w:cs="Calibri"/>
              </w:rPr>
            </w:pPr>
            <w:r>
              <w:rPr>
                <w:rFonts w:ascii="Calibri" w:eastAsia="Calibri" w:hAnsi="Calibri" w:cs="Calibri"/>
              </w:rPr>
              <w:t>Standardy AEO (Answer Engine Optimization) 2026</w:t>
            </w:r>
          </w:p>
        </w:tc>
      </w:tr>
      <w:tr w:rsidR="00F55066" w14:paraId="3D8EE6B5" w14:textId="77777777" w:rsidTr="0073011B">
        <w:trPr>
          <w:trHeight w:val="945"/>
        </w:trPr>
        <w:tc>
          <w:tcPr>
            <w:tcW w:w="16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42A02" w14:textId="77777777" w:rsidR="00F55066" w:rsidRDefault="00F55066" w:rsidP="0073011B">
            <w:pPr>
              <w:rPr>
                <w:rFonts w:ascii="Calibri" w:eastAsia="Calibri" w:hAnsi="Calibri" w:cs="Calibri"/>
                <w:b/>
                <w:bCs/>
              </w:rPr>
            </w:pPr>
            <w:r>
              <w:rPr>
                <w:rFonts w:ascii="Calibri" w:eastAsia="Calibri" w:hAnsi="Calibri" w:cs="Calibri"/>
                <w:b/>
                <w:bCs/>
              </w:rPr>
              <w:t>Wydłużenie prawa do zwrotu</w:t>
            </w:r>
          </w:p>
        </w:tc>
        <w:tc>
          <w:tcPr>
            <w:tcW w:w="22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C5FCD" w14:textId="77777777" w:rsidR="00F55066" w:rsidRDefault="00F55066" w:rsidP="0073011B">
            <w:pPr>
              <w:jc w:val="center"/>
              <w:rPr>
                <w:rFonts w:ascii="Calibri" w:eastAsia="Calibri" w:hAnsi="Calibri" w:cs="Calibri"/>
              </w:rPr>
            </w:pPr>
            <w:r>
              <w:rPr>
                <w:rFonts w:ascii="Calibri" w:eastAsia="Calibri" w:hAnsi="Calibri" w:cs="Calibri"/>
              </w:rPr>
              <w:t>Z 14 dni do 12 miesięcy (błędy UX/reguły)</w:t>
            </w:r>
          </w:p>
        </w:tc>
        <w:tc>
          <w:tcPr>
            <w:tcW w:w="25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4037A" w14:textId="77777777" w:rsidR="00F55066" w:rsidRDefault="00F55066" w:rsidP="0073011B">
            <w:pPr>
              <w:jc w:val="center"/>
              <w:rPr>
                <w:rFonts w:ascii="Calibri" w:eastAsia="Calibri" w:hAnsi="Calibri" w:cs="Calibri"/>
              </w:rPr>
            </w:pPr>
            <w:r>
              <w:rPr>
                <w:rFonts w:ascii="Calibri" w:eastAsia="Calibri" w:hAnsi="Calibri" w:cs="Calibri"/>
              </w:rPr>
              <w:t>Sankcja cywilna (brak poinformowania o prawie do odstąpienia)</w:t>
            </w:r>
          </w:p>
        </w:tc>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64E83" w14:textId="77777777" w:rsidR="00F55066" w:rsidRDefault="00F55066" w:rsidP="0073011B">
            <w:pPr>
              <w:jc w:val="center"/>
              <w:rPr>
                <w:rFonts w:ascii="Calibri" w:eastAsia="Calibri" w:hAnsi="Calibri" w:cs="Calibri"/>
              </w:rPr>
            </w:pPr>
            <w:r>
              <w:rPr>
                <w:rFonts w:ascii="Calibri" w:eastAsia="Calibri" w:hAnsi="Calibri" w:cs="Calibri"/>
              </w:rPr>
              <w:t>Art. 29 Ustawy o prawach konsumenta / Dyrektywa 2011/83/UE</w:t>
            </w:r>
          </w:p>
        </w:tc>
      </w:tr>
      <w:tr w:rsidR="00F55066" w14:paraId="5496D945" w14:textId="77777777" w:rsidTr="0073011B">
        <w:trPr>
          <w:trHeight w:val="945"/>
        </w:trPr>
        <w:tc>
          <w:tcPr>
            <w:tcW w:w="16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595E8" w14:textId="77777777" w:rsidR="00F55066" w:rsidRDefault="00F55066" w:rsidP="0073011B">
            <w:pPr>
              <w:rPr>
                <w:rFonts w:ascii="Calibri" w:eastAsia="Calibri" w:hAnsi="Calibri" w:cs="Calibri"/>
                <w:b/>
                <w:bCs/>
              </w:rPr>
            </w:pPr>
            <w:r>
              <w:rPr>
                <w:rFonts w:ascii="Calibri" w:eastAsia="Calibri" w:hAnsi="Calibri" w:cs="Calibri"/>
                <w:b/>
                <w:bCs/>
              </w:rPr>
              <w:t>Skuteczność UGC w konwersji</w:t>
            </w:r>
          </w:p>
        </w:tc>
        <w:tc>
          <w:tcPr>
            <w:tcW w:w="22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4AB30" w14:textId="77777777" w:rsidR="00F55066" w:rsidRDefault="00F55066" w:rsidP="0073011B">
            <w:pPr>
              <w:jc w:val="center"/>
              <w:rPr>
                <w:rFonts w:ascii="Calibri" w:eastAsia="Calibri" w:hAnsi="Calibri" w:cs="Calibri"/>
              </w:rPr>
            </w:pPr>
            <w:r>
              <w:rPr>
                <w:rFonts w:ascii="Calibri" w:eastAsia="Calibri" w:hAnsi="Calibri" w:cs="Calibri"/>
              </w:rPr>
              <w:t>10.38x wyższa niż tradycyjne reklamy</w:t>
            </w:r>
          </w:p>
        </w:tc>
        <w:tc>
          <w:tcPr>
            <w:tcW w:w="25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83C56" w14:textId="77777777" w:rsidR="00F55066" w:rsidRDefault="00F55066" w:rsidP="0073011B">
            <w:pPr>
              <w:jc w:val="center"/>
              <w:rPr>
                <w:rFonts w:ascii="Calibri" w:eastAsia="Calibri" w:hAnsi="Calibri" w:cs="Calibri"/>
              </w:rPr>
            </w:pPr>
            <w:r>
              <w:rPr>
                <w:rFonts w:ascii="Calibri" w:eastAsia="Calibri" w:hAnsi="Calibri" w:cs="Calibri"/>
              </w:rPr>
              <w:t>Wzrost efektywności sprzedażowej (ROI)</w:t>
            </w:r>
          </w:p>
        </w:tc>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F784C" w14:textId="77777777" w:rsidR="00F55066" w:rsidRDefault="00F55066" w:rsidP="0073011B">
            <w:pPr>
              <w:jc w:val="center"/>
              <w:rPr>
                <w:rFonts w:ascii="Calibri" w:eastAsia="Calibri" w:hAnsi="Calibri" w:cs="Calibri"/>
              </w:rPr>
            </w:pPr>
            <w:r>
              <w:rPr>
                <w:rFonts w:ascii="Calibri" w:eastAsia="Calibri" w:hAnsi="Calibri" w:cs="Calibri"/>
              </w:rPr>
              <w:t>Raport State of UGC / Analizy rynkowe TrustMate 2025-2026</w:t>
            </w:r>
          </w:p>
        </w:tc>
      </w:tr>
    </w:tbl>
    <w:p w14:paraId="3A1A07DB" w14:textId="49720C75" w:rsidR="00F55066" w:rsidRDefault="00F55066" w:rsidP="00F55066">
      <w:pPr>
        <w:spacing w:before="240" w:after="240"/>
        <w:rPr>
          <w:rFonts w:ascii="Calibri" w:eastAsia="Calibri" w:hAnsi="Calibri" w:cs="Calibri"/>
          <w:i/>
          <w:iCs/>
        </w:rPr>
      </w:pPr>
      <w:r>
        <w:rPr>
          <w:rFonts w:ascii="Calibri" w:eastAsia="Calibri" w:hAnsi="Calibri" w:cs="Calibri"/>
          <w:i/>
          <w:iCs/>
        </w:rPr>
        <w:t xml:space="preserve">Opracowanie: Trustmate.io, </w:t>
      </w:r>
      <w:r w:rsidR="00157A90">
        <w:rPr>
          <w:rFonts w:ascii="Calibri" w:eastAsia="Calibri" w:hAnsi="Calibri" w:cs="Calibri"/>
          <w:i/>
          <w:iCs/>
        </w:rPr>
        <w:t>IV</w:t>
      </w:r>
      <w:r>
        <w:rPr>
          <w:rFonts w:ascii="Calibri" w:eastAsia="Calibri" w:hAnsi="Calibri" w:cs="Calibri"/>
          <w:i/>
          <w:iCs/>
        </w:rPr>
        <w:t xml:space="preserve"> 2026 r.</w:t>
      </w:r>
    </w:p>
    <w:p w14:paraId="7C9A3395" w14:textId="77777777" w:rsidR="00B90596" w:rsidRDefault="00B90596" w:rsidP="002A53E3">
      <w:pPr>
        <w:rPr>
          <w:b/>
          <w:bCs/>
        </w:rPr>
      </w:pPr>
    </w:p>
    <w:p w14:paraId="15D4B737" w14:textId="0A79C57E" w:rsidR="002A53E3" w:rsidRPr="002A53E3" w:rsidRDefault="002A53E3" w:rsidP="002A53E3">
      <w:pPr>
        <w:rPr>
          <w:b/>
          <w:bCs/>
        </w:rPr>
      </w:pPr>
      <w:r w:rsidRPr="002A53E3">
        <w:rPr>
          <w:b/>
          <w:bCs/>
        </w:rPr>
        <w:t>Nowy standard architektury bezpieczeństwa e-commerce</w:t>
      </w:r>
    </w:p>
    <w:p w14:paraId="1C857440" w14:textId="77777777" w:rsidR="002A53E3" w:rsidRDefault="002A53E3" w:rsidP="002A53E3">
      <w:r>
        <w:t>W obliczu nowej rzeczywistości regulacyjnej, rola systemów takich jak TrustMate ewoluowała z narzędzia do zbierania opinii w kierunku modelu Compliance-as-a-Service. Stanowi on obecnie krytyczny element architektury bezpieczeństwa prawnego dla podmiotów prowadzących sprzedaż w sieci. Celem nowoczesnych rozwiązań w 2026 roku jest dostarczanie tzw. „czystych danych” – zasobów zweryfikowanych transakcyjnie, wolnych od manipulacji AI i w pełni odpornych na audyty organów nadzorczych.</w:t>
      </w:r>
    </w:p>
    <w:p w14:paraId="46C988BA" w14:textId="77777777" w:rsidR="002A53E3" w:rsidRDefault="002A53E3" w:rsidP="002A53E3">
      <w:r>
        <w:t>Współczesny e-commerce nie może już traktować zaufania jako elementu opcjonalnego czy wyłącznie wizerunkowego. W celu uniknięcia paraliżu operacyjnego, który mogą wywołać kontrole UOKiK, przedsiębiorstwa są zobligowane do przejścia na model operacyjny oparty na cyfrowych certyfikatach pochodzenia każdej recenzji. Przejście na model Compliance-as-a-Service nie jest jedynie strategią obronną, lecz fundamentem budowy wartości firmy w relacjach z inwestorami oraz partnerami technologicznymi. Niedostosowanie się do tych standardów wiąże się z realnym ryzykiem marginalizacji w ekosystemie, w którym transparentność stała się nadrzędną walutą rynkową.</w:t>
      </w:r>
    </w:p>
    <w:p w14:paraId="3C8F1A5E" w14:textId="77777777" w:rsidR="002A53E3" w:rsidRDefault="002A53E3" w:rsidP="002A53E3">
      <w:r>
        <w:t xml:space="preserve"> </w:t>
      </w:r>
    </w:p>
    <w:p w14:paraId="58F356F9" w14:textId="77777777" w:rsidR="002A53E3" w:rsidRPr="002A53E3" w:rsidRDefault="002A53E3" w:rsidP="002A53E3">
      <w:pPr>
        <w:rPr>
          <w:b/>
          <w:bCs/>
        </w:rPr>
      </w:pPr>
      <w:r w:rsidRPr="002A53E3">
        <w:rPr>
          <w:b/>
          <w:bCs/>
        </w:rPr>
        <w:lastRenderedPageBreak/>
        <w:t>O TrustMate</w:t>
      </w:r>
    </w:p>
    <w:p w14:paraId="00B0BB9E" w14:textId="0A5C6B99" w:rsidR="003A4916" w:rsidRDefault="002A53E3" w:rsidP="002A53E3">
      <w:r>
        <w:t>TrustMate.io to wiodąca w Polsce i Europie Centralnej i Wschodniej platforma technologiczna specjalizująca się w automatyzacji procesów zbierania i zarządzania zweryfikowanymi opiniami o firmach, produktach i usługach. Firma powstała w 2019 roku we Wrocławiu. Z TrustMate korzysta obecnie ponad 15 tysięcy firm z kilkunastu krajów, m.in. 4F, Decathlon, Modivo, Wittchen, Victoria’s Secret, eobuwie, Superpharm czy LPP.</w:t>
      </w:r>
    </w:p>
    <w:sectPr w:rsidR="003A491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4890E" w14:textId="77777777" w:rsidR="00FF2541" w:rsidRDefault="00FF2541" w:rsidP="002A53E3">
      <w:pPr>
        <w:spacing w:after="0" w:line="240" w:lineRule="auto"/>
      </w:pPr>
      <w:r>
        <w:separator/>
      </w:r>
    </w:p>
  </w:endnote>
  <w:endnote w:type="continuationSeparator" w:id="0">
    <w:p w14:paraId="705DA219" w14:textId="77777777" w:rsidR="00FF2541" w:rsidRDefault="00FF2541" w:rsidP="002A5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CC2" w14:textId="77777777" w:rsidR="002A53E3" w:rsidRDefault="002A53E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7A08" w14:textId="77777777" w:rsidR="002A53E3" w:rsidRDefault="002A53E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B1C2" w14:textId="77777777" w:rsidR="002A53E3" w:rsidRDefault="002A53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25869" w14:textId="77777777" w:rsidR="00FF2541" w:rsidRDefault="00FF2541" w:rsidP="002A53E3">
      <w:pPr>
        <w:spacing w:after="0" w:line="240" w:lineRule="auto"/>
      </w:pPr>
      <w:r>
        <w:separator/>
      </w:r>
    </w:p>
  </w:footnote>
  <w:footnote w:type="continuationSeparator" w:id="0">
    <w:p w14:paraId="083BA6FB" w14:textId="77777777" w:rsidR="00FF2541" w:rsidRDefault="00FF2541" w:rsidP="002A5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7988" w14:textId="77777777" w:rsidR="002A53E3" w:rsidRDefault="002A53E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E34C" w14:textId="3C82A1ED" w:rsidR="002A53E3" w:rsidRDefault="006C3717" w:rsidP="006C3717">
    <w:pPr>
      <w:pStyle w:val="Nagwek"/>
      <w:jc w:val="center"/>
    </w:pPr>
    <w:r>
      <w:rPr>
        <w:noProof/>
      </w:rPr>
      <w:drawing>
        <wp:inline distT="0" distB="0" distL="0" distR="0" wp14:anchorId="7A8AD4DD" wp14:editId="3B152556">
          <wp:extent cx="1729105" cy="449580"/>
          <wp:effectExtent l="0" t="0" r="4445" b="7620"/>
          <wp:docPr id="945993555" name="Obraz 3" descr="Popraw ruch i konwersję zbierając opinie - Trust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93555" name="Obraz 3" descr="Popraw ruch i konwersję zbierając opinie - TrustMa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105" cy="4495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A8A6" w14:textId="77777777" w:rsidR="002A53E3" w:rsidRDefault="002A53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551D6"/>
    <w:multiLevelType w:val="hybridMultilevel"/>
    <w:tmpl w:val="925C7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E323CCB"/>
    <w:multiLevelType w:val="hybridMultilevel"/>
    <w:tmpl w:val="E6BA0B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01496920">
    <w:abstractNumId w:val="0"/>
  </w:num>
  <w:num w:numId="2" w16cid:durableId="1834028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E3"/>
    <w:rsid w:val="000A5BC0"/>
    <w:rsid w:val="00157A90"/>
    <w:rsid w:val="00230F5D"/>
    <w:rsid w:val="002522FB"/>
    <w:rsid w:val="002572AC"/>
    <w:rsid w:val="002A53E3"/>
    <w:rsid w:val="003A4916"/>
    <w:rsid w:val="003C4B0E"/>
    <w:rsid w:val="00546F3E"/>
    <w:rsid w:val="00604069"/>
    <w:rsid w:val="006C3717"/>
    <w:rsid w:val="008A69D6"/>
    <w:rsid w:val="00927008"/>
    <w:rsid w:val="009F1CBE"/>
    <w:rsid w:val="00A96F8B"/>
    <w:rsid w:val="00B90596"/>
    <w:rsid w:val="00BF33CA"/>
    <w:rsid w:val="00CC0F3A"/>
    <w:rsid w:val="00E20505"/>
    <w:rsid w:val="00E52C83"/>
    <w:rsid w:val="00EC5893"/>
    <w:rsid w:val="00F55066"/>
    <w:rsid w:val="00FF25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A1B4E"/>
  <w15:chartTrackingRefBased/>
  <w15:docId w15:val="{33305B4F-25FD-4344-AD37-BE1992F7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A5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A5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A53E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A53E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A53E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A53E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A53E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A53E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A53E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53E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A53E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A53E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A53E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A53E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A53E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A53E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A53E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A53E3"/>
    <w:rPr>
      <w:rFonts w:eastAsiaTheme="majorEastAsia" w:cstheme="majorBidi"/>
      <w:color w:val="272727" w:themeColor="text1" w:themeTint="D8"/>
    </w:rPr>
  </w:style>
  <w:style w:type="paragraph" w:styleId="Tytu">
    <w:name w:val="Title"/>
    <w:basedOn w:val="Normalny"/>
    <w:next w:val="Normalny"/>
    <w:link w:val="TytuZnak"/>
    <w:uiPriority w:val="10"/>
    <w:qFormat/>
    <w:rsid w:val="002A5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A53E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A53E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A53E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A53E3"/>
    <w:pPr>
      <w:spacing w:before="160"/>
      <w:jc w:val="center"/>
    </w:pPr>
    <w:rPr>
      <w:i/>
      <w:iCs/>
      <w:color w:val="404040" w:themeColor="text1" w:themeTint="BF"/>
    </w:rPr>
  </w:style>
  <w:style w:type="character" w:customStyle="1" w:styleId="CytatZnak">
    <w:name w:val="Cytat Znak"/>
    <w:basedOn w:val="Domylnaczcionkaakapitu"/>
    <w:link w:val="Cytat"/>
    <w:uiPriority w:val="29"/>
    <w:rsid w:val="002A53E3"/>
    <w:rPr>
      <w:i/>
      <w:iCs/>
      <w:color w:val="404040" w:themeColor="text1" w:themeTint="BF"/>
    </w:rPr>
  </w:style>
  <w:style w:type="paragraph" w:styleId="Akapitzlist">
    <w:name w:val="List Paragraph"/>
    <w:basedOn w:val="Normalny"/>
    <w:uiPriority w:val="34"/>
    <w:qFormat/>
    <w:rsid w:val="002A53E3"/>
    <w:pPr>
      <w:ind w:left="720"/>
      <w:contextualSpacing/>
    </w:pPr>
  </w:style>
  <w:style w:type="character" w:styleId="Wyrnienieintensywne">
    <w:name w:val="Intense Emphasis"/>
    <w:basedOn w:val="Domylnaczcionkaakapitu"/>
    <w:uiPriority w:val="21"/>
    <w:qFormat/>
    <w:rsid w:val="002A53E3"/>
    <w:rPr>
      <w:i/>
      <w:iCs/>
      <w:color w:val="2F5496" w:themeColor="accent1" w:themeShade="BF"/>
    </w:rPr>
  </w:style>
  <w:style w:type="paragraph" w:styleId="Cytatintensywny">
    <w:name w:val="Intense Quote"/>
    <w:basedOn w:val="Normalny"/>
    <w:next w:val="Normalny"/>
    <w:link w:val="CytatintensywnyZnak"/>
    <w:uiPriority w:val="30"/>
    <w:qFormat/>
    <w:rsid w:val="002A5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A53E3"/>
    <w:rPr>
      <w:i/>
      <w:iCs/>
      <w:color w:val="2F5496" w:themeColor="accent1" w:themeShade="BF"/>
    </w:rPr>
  </w:style>
  <w:style w:type="character" w:styleId="Odwoanieintensywne">
    <w:name w:val="Intense Reference"/>
    <w:basedOn w:val="Domylnaczcionkaakapitu"/>
    <w:uiPriority w:val="32"/>
    <w:qFormat/>
    <w:rsid w:val="002A53E3"/>
    <w:rPr>
      <w:b/>
      <w:bCs/>
      <w:smallCaps/>
      <w:color w:val="2F5496" w:themeColor="accent1" w:themeShade="BF"/>
      <w:spacing w:val="5"/>
    </w:rPr>
  </w:style>
  <w:style w:type="paragraph" w:styleId="Nagwek">
    <w:name w:val="header"/>
    <w:basedOn w:val="Normalny"/>
    <w:link w:val="NagwekZnak"/>
    <w:uiPriority w:val="99"/>
    <w:unhideWhenUsed/>
    <w:rsid w:val="002A53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53E3"/>
  </w:style>
  <w:style w:type="paragraph" w:styleId="Stopka">
    <w:name w:val="footer"/>
    <w:basedOn w:val="Normalny"/>
    <w:link w:val="StopkaZnak"/>
    <w:uiPriority w:val="99"/>
    <w:unhideWhenUsed/>
    <w:rsid w:val="002A53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5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7947</Characters>
  <Application>Microsoft Office Word</Application>
  <DocSecurity>0</DocSecurity>
  <Lines>66</Lines>
  <Paragraphs>18</Paragraphs>
  <ScaleCrop>false</ScaleCrop>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Praktycy</dc:creator>
  <cp:keywords/>
  <dc:description/>
  <cp:lastModifiedBy>Piotr Praktycy</cp:lastModifiedBy>
  <cp:revision>8</cp:revision>
  <dcterms:created xsi:type="dcterms:W3CDTF">2026-04-01T06:37:00Z</dcterms:created>
  <dcterms:modified xsi:type="dcterms:W3CDTF">2026-04-01T07:15:00Z</dcterms:modified>
</cp:coreProperties>
</file>